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rFonts w:ascii="Calibri" w:cs="Calibri" w:eastAsia="Calibri" w:hAnsi="Calibri"/>
          <w:b w:val="1"/>
        </w:rPr>
      </w:pPr>
      <w:r w:rsidDel="00000000" w:rsidR="00000000" w:rsidRPr="00000000">
        <w:br w:type="page"/>
      </w:r>
      <w:r w:rsidDel="00000000" w:rsidR="00000000" w:rsidRPr="00000000">
        <w:rPr>
          <w:rtl w:val="0"/>
        </w:rPr>
      </w:r>
    </w:p>
    <w:p w:rsidR="00000000" w:rsidDel="00000000" w:rsidP="00000000" w:rsidRDefault="00000000" w:rsidRPr="00000000" w14:paraId="00000010">
      <w:pPr>
        <w:jc w:val="center"/>
        <w:rPr>
          <w:rFonts w:ascii="Calibri" w:cs="Calibri" w:eastAsia="Calibri" w:hAnsi="Calibri"/>
          <w:b w:val="1"/>
        </w:rPr>
      </w:pPr>
      <w:r w:rsidDel="00000000" w:rsidR="00000000" w:rsidRPr="00000000">
        <w:rPr>
          <w:rFonts w:ascii="Calibri" w:cs="Calibri" w:eastAsia="Calibri" w:hAnsi="Calibri"/>
          <w:b w:val="1"/>
          <w:rtl w:val="0"/>
        </w:rPr>
        <w:t xml:space="preserve">CALL-OFF SCHEDULE 4A </w:t>
      </w:r>
    </w:p>
    <w:p w:rsidR="00000000" w:rsidDel="00000000" w:rsidP="00000000" w:rsidRDefault="00000000" w:rsidRPr="00000000" w14:paraId="00000011">
      <w:pPr>
        <w:jc w:val="center"/>
        <w:rPr>
          <w:rFonts w:ascii="Calibri" w:cs="Calibri" w:eastAsia="Calibri" w:hAnsi="Calibri"/>
          <w:b w:val="1"/>
        </w:rPr>
      </w:pPr>
      <w:r w:rsidDel="00000000" w:rsidR="00000000" w:rsidRPr="00000000">
        <w:rPr>
          <w:rFonts w:ascii="Calibri" w:cs="Calibri" w:eastAsia="Calibri" w:hAnsi="Calibri"/>
          <w:b w:val="1"/>
          <w:rtl w:val="0"/>
        </w:rPr>
        <w:t xml:space="preserve">BILLABLE WORKS AND PROJECTS</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Introduction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prescribes the procedure, calculations and rates to be used by the Buyer and Supplier when assessing the Charges for Work Orders.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Billable Works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and executed by the Supplier;</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labour;</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replacement Assets;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materials;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profit;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relevant Billable Works Management Uplift (which includes Overhead); and</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other applicable cost categories as the Buyer may notify to the Supplier from time to time. </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Quotation and Tenders for Billable Works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gives instructions to the Supplier to manage and/or execute Billable Works according to applicable value thresholds: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One Billable Works shall be managed and executed by the Supplier. Where the Billable Works are to be delivered directly by the Supplier, the Supplier shall provide an estimate of costs in accordance with the rates set out in Call Off Schedule 5 – (Call-Off Pricing) or P.S.A. Schedule of Rates if requested by the Buyer. Where Works are to be undertaken by others,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 up to the value specified in the Order Form; or</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Billable Works arise as a result of any: </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Works that are Small Works; or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Works arising from Planned Maintenance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Billable Works shall not proceed until an instruction is received from the Buyer in writing or via the CAFM System.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Quotations for Billable Works may include the Billable Works Management Uplift (if applicable) as per the rates submitted in the Pricing Matrix.</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Projects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decides at its sole discretion that the scope of any Billable Works are such that they require a defined management approach such that the RIBA “Plan of Work” management principles shall apply then the Billable Works will be deemed to be a Project.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deemed as a Project, the Project Stage fee will apply as stated in the Pricing Matrix.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is agreed that the Project Stage fee shall always be applied to the value of a Project prior to any profit.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 Project is aborted by the Buyer prior to completion, if applicable, the relevant Project Stage Uplift will be applied up to the point at which it is aborted based on the agreed estimated cost of the Project.</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Inclusive Repair Threshold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vandalism; </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4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 unapproved suppliers repairing Assets;</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4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buyer specifies a price variation;</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schedule of works arising from events listed in paragraph 5.6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8">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59">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spacing w:after="0" w:line="276" w:lineRule="auto"/>
      <w:jc w:val="left"/>
      <w:rPr/>
    </w:pPr>
    <w:r w:rsidDel="00000000" w:rsidR="00000000" w:rsidRPr="00000000">
      <w:rPr>
        <w:b w:val="1"/>
        <w:rtl w:val="0"/>
      </w:rPr>
      <w:t xml:space="preserve">Customer Support &amp; Community (Provision of Soft FM Services) South</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4A (Billable Works and Projects)</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GPSL1CLAUSEHEADING" w:customStyle="1">
    <w:name w:val="GPS L1 CLAUSE HEADING"/>
    <w:basedOn w:val="Normal"/>
    <w:next w:val="Normal"/>
    <w:link w:val="GPSL1CLAUSEHEADINGChar"/>
    <w:qFormat w:val="1"/>
    <w:pPr>
      <w:numPr>
        <w:numId w:val="4"/>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4"/>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4"/>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numPr>
        <w:numId w:val="116"/>
      </w:numPr>
      <w:tabs>
        <w:tab w:val="left" w:pos="-9"/>
      </w:tabs>
      <w:spacing w:after="1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s>
      <w:ind w:hanging="545"/>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2F1R7Q3vA53RhYqYaVFGCtpCEw==">CgMxLjAyCGguZ2pkZ3hzMgloLjMwajB6bGwyCWguMWZvYjl0ZTIJaC4zem55c2g3OAByITFjemRKUzBKemM2ZVVtcjNSWFJPOHg2UnJacTVlWG1rZQ==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